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E6" w:rsidRDefault="00A025E6" w:rsidP="00A025E6">
      <w:pPr>
        <w:pStyle w:val="BodyText"/>
        <w:tabs>
          <w:tab w:val="left" w:pos="9574"/>
        </w:tabs>
        <w:spacing w:before="71"/>
        <w:ind w:left="5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6862445</wp:posOffset>
                </wp:positionH>
                <wp:positionV relativeFrom="paragraph">
                  <wp:posOffset>50800</wp:posOffset>
                </wp:positionV>
                <wp:extent cx="0" cy="330835"/>
                <wp:effectExtent l="13970" t="9525" r="508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8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09DFD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0.35pt,4pt" to="540.3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7NgGwIAAEAEAAAOAAAAZHJzL2Uyb0RvYy54bWysU12v2iAYvl+y/0C417ba47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e+dhhJaH2J&#10;dlwyNAmZ6bQtPGAt9ybERi7yRe8U+WqRVOsG5JFFha9X7d2y4JE8uISN1Z7/0H1U1GPg5FRM06U2&#10;baD0CUCXWI3rvRrs4hDpD4k/nU7T+fQpkkNx89PGug9MtSgYJRZecuSF8866oAOKGyQ8I9WWCxFr&#10;LSTqSrzI8jw6WCU4DZcBZs3xsBYGnSF0S/yGdx9ggbkC2/S4eBVgUBh1kjRaDQO6GWwHXPS2VyVk&#10;APoQvc7B6vvk2yJdbOabeT7KJ7PNKE+ravR+u85Hs2327qmaVut1lX0PmrO8aDilTAbZt57N8r/r&#10;iWF6+m67d+09P8kje0ykF3v7R9GxxqGsfYMcFL3uTch5KLdv0wgeRirMwa/7iPo5+KsfAAAA//8D&#10;AFBLAwQUAAYACAAAACEAvztIEdsAAAAKAQAADwAAAGRycy9kb3ducmV2LnhtbEyPwU7DMBBE70j8&#10;g7WVuFG7HNIoxKmqKlwQBwh8wDY2iUW8jmK3Cf16tuIAx5l9mp0pd4sfxNlO0QXSsFkrEJbaYBx1&#10;Gj7en+5zEDEhGRwCWQ3fNsKuur0psTBhpjd7blInOIRigRr6lMZCytj21mNch9ES3z7D5DGxnDpp&#10;Jpw53A/yQalMenTEH3oc7aG37Vdz8hqa15c5e75c5nrbOIwpub6uD1rfrZb9I4hkl/QHw7U+V4eK&#10;Ox3DiUwUA2uVqy2zGnLedAV+jaOGTG1AVqX8P6H6AQAA//8DAFBLAQItABQABgAIAAAAIQC2gziS&#10;/gAAAOEBAAATAAAAAAAAAAAAAAAAAAAAAABbQ29udGVudF9UeXBlc10ueG1sUEsBAi0AFAAGAAgA&#10;AAAhADj9If/WAAAAlAEAAAsAAAAAAAAAAAAAAAAALwEAAF9yZWxzLy5yZWxzUEsBAi0AFAAGAAgA&#10;AAAhAFJTs2AbAgAAQAQAAA4AAAAAAAAAAAAAAAAALgIAAGRycy9lMm9Eb2MueG1sUEsBAi0AFAAG&#10;AAgAAAAhAL87SBHbAAAACgEAAA8AAAAAAAAAAAAAAAAAdQQAAGRycy9kb3ducmV2LnhtbFBLBQYA&#10;AAAABAAEAPMAAAB9BQAAAAA=&#10;" strokeweight=".72pt">
                <w10:wrap anchorx="page"/>
              </v:line>
            </w:pict>
          </mc:Fallback>
        </mc:AlternateContent>
      </w:r>
      <w:r w:rsidR="00C22DA5">
        <w:t>NEFE Financial Education</w:t>
      </w:r>
      <w:r w:rsidR="00C22DA5">
        <w:rPr>
          <w:spacing w:val="-4"/>
        </w:rPr>
        <w:t xml:space="preserve"> </w:t>
      </w:r>
      <w:r w:rsidR="00C22DA5">
        <w:t>Evaluation</w:t>
      </w:r>
      <w:r w:rsidR="00C22DA5">
        <w:rPr>
          <w:spacing w:val="-5"/>
        </w:rPr>
        <w:t xml:space="preserve"> </w:t>
      </w:r>
      <w:r>
        <w:t>Manual</w:t>
      </w:r>
    </w:p>
    <w:p w:rsidR="00A025E6" w:rsidRPr="00A025E6" w:rsidRDefault="00A025E6" w:rsidP="00A025E6">
      <w:pPr>
        <w:pStyle w:val="BodyText"/>
        <w:tabs>
          <w:tab w:val="left" w:pos="9574"/>
        </w:tabs>
        <w:spacing w:before="71"/>
        <w:ind w:left="5400"/>
      </w:pPr>
      <w:bookmarkStart w:id="0" w:name="_GoBack"/>
      <w:bookmarkEnd w:id="0"/>
    </w:p>
    <w:p w:rsidR="009C1F4B" w:rsidRDefault="009C1F4B">
      <w:pPr>
        <w:pStyle w:val="BodyText"/>
        <w:spacing w:before="6"/>
        <w:rPr>
          <w:rFonts w:ascii="Times New Roman"/>
        </w:rPr>
      </w:pPr>
    </w:p>
    <w:p w:rsidR="009C1F4B" w:rsidRDefault="00C22DA5">
      <w:pPr>
        <w:spacing w:before="56"/>
        <w:ind w:left="3089"/>
        <w:rPr>
          <w:b/>
        </w:rPr>
      </w:pPr>
      <w:r>
        <w:rPr>
          <w:b/>
        </w:rPr>
        <w:t>APPENDIX B: Logic Model Worksheet</w:t>
      </w:r>
    </w:p>
    <w:p w:rsidR="009C1F4B" w:rsidRDefault="009C1F4B">
      <w:pPr>
        <w:spacing w:before="1" w:after="1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2" w:space="0" w:color="5A781D"/>
          <w:left w:val="single" w:sz="2" w:space="0" w:color="5A781D"/>
          <w:bottom w:val="single" w:sz="2" w:space="0" w:color="5A781D"/>
          <w:right w:val="single" w:sz="2" w:space="0" w:color="5A781D"/>
          <w:insideH w:val="single" w:sz="18" w:space="0" w:color="5A781D"/>
          <w:insideV w:val="single" w:sz="6" w:space="0" w:color="5A781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287"/>
        <w:gridCol w:w="1513"/>
        <w:gridCol w:w="1659"/>
        <w:gridCol w:w="1511"/>
        <w:gridCol w:w="1597"/>
        <w:gridCol w:w="1557"/>
      </w:tblGrid>
      <w:tr w:rsidR="009C1F4B" w:rsidTr="00A025E6">
        <w:trPr>
          <w:trHeight w:val="663"/>
        </w:trPr>
        <w:tc>
          <w:tcPr>
            <w:tcW w:w="1729" w:type="dxa"/>
            <w:gridSpan w:val="2"/>
          </w:tcPr>
          <w:p w:rsidR="009C1F4B" w:rsidRDefault="00C22DA5">
            <w:pPr>
              <w:pStyle w:val="TableParagraph"/>
              <w:spacing w:before="61"/>
              <w:ind w:left="575" w:right="315" w:hanging="224"/>
              <w:rPr>
                <w:b/>
              </w:rPr>
            </w:pPr>
            <w:r>
              <w:rPr>
                <w:b/>
              </w:rPr>
              <w:t>Resources/ Inputs</w:t>
            </w:r>
          </w:p>
        </w:tc>
        <w:tc>
          <w:tcPr>
            <w:tcW w:w="1513" w:type="dxa"/>
          </w:tcPr>
          <w:p w:rsidR="009C1F4B" w:rsidRDefault="00C22DA5">
            <w:pPr>
              <w:pStyle w:val="TableParagraph"/>
              <w:spacing w:before="195"/>
              <w:ind w:left="332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1659" w:type="dxa"/>
          </w:tcPr>
          <w:p w:rsidR="009C1F4B" w:rsidRDefault="00C22DA5">
            <w:pPr>
              <w:pStyle w:val="TableParagraph"/>
              <w:spacing w:before="195"/>
              <w:ind w:left="454"/>
              <w:rPr>
                <w:b/>
              </w:rPr>
            </w:pPr>
            <w:r>
              <w:rPr>
                <w:b/>
              </w:rPr>
              <w:t>Outputs</w:t>
            </w:r>
          </w:p>
        </w:tc>
        <w:tc>
          <w:tcPr>
            <w:tcW w:w="1511" w:type="dxa"/>
          </w:tcPr>
          <w:p w:rsidR="009C1F4B" w:rsidRDefault="00C22DA5">
            <w:pPr>
              <w:pStyle w:val="TableParagraph"/>
              <w:spacing w:before="61"/>
              <w:ind w:left="287" w:right="201" w:hanging="56"/>
              <w:rPr>
                <w:b/>
              </w:rPr>
            </w:pPr>
            <w:r>
              <w:rPr>
                <w:b/>
              </w:rPr>
              <w:t>Short-Term Outcomes</w:t>
            </w:r>
          </w:p>
        </w:tc>
        <w:tc>
          <w:tcPr>
            <w:tcW w:w="1597" w:type="dxa"/>
          </w:tcPr>
          <w:p w:rsidR="009C1F4B" w:rsidRDefault="00C22DA5">
            <w:pPr>
              <w:pStyle w:val="TableParagraph"/>
              <w:spacing w:before="61"/>
              <w:ind w:left="327" w:right="165" w:hanging="135"/>
              <w:rPr>
                <w:b/>
              </w:rPr>
            </w:pPr>
            <w:r>
              <w:rPr>
                <w:b/>
              </w:rPr>
              <w:t>Intermediate Outcomes</w:t>
            </w:r>
          </w:p>
        </w:tc>
        <w:tc>
          <w:tcPr>
            <w:tcW w:w="1557" w:type="dxa"/>
          </w:tcPr>
          <w:p w:rsidR="009C1F4B" w:rsidRDefault="00C22DA5">
            <w:pPr>
              <w:pStyle w:val="TableParagraph"/>
              <w:spacing w:before="61"/>
              <w:ind w:left="305" w:right="258" w:hanging="24"/>
              <w:rPr>
                <w:b/>
              </w:rPr>
            </w:pPr>
            <w:r>
              <w:rPr>
                <w:b/>
              </w:rPr>
              <w:t>Long-Term Outcomes</w:t>
            </w:r>
          </w:p>
        </w:tc>
      </w:tr>
      <w:tr w:rsidR="009C1F4B" w:rsidTr="00A025E6">
        <w:trPr>
          <w:trHeight w:val="761"/>
        </w:trPr>
        <w:tc>
          <w:tcPr>
            <w:tcW w:w="442" w:type="dxa"/>
            <w:vMerge w:val="restart"/>
            <w:shd w:val="clear" w:color="auto" w:fill="DAE1CC"/>
            <w:textDirection w:val="btLr"/>
          </w:tcPr>
          <w:p w:rsidR="009C1F4B" w:rsidRDefault="00C22DA5">
            <w:pPr>
              <w:pStyle w:val="TableParagraph"/>
              <w:spacing w:before="107"/>
              <w:ind w:left="486"/>
              <w:rPr>
                <w:b/>
                <w:i/>
              </w:rPr>
            </w:pPr>
            <w:r>
              <w:rPr>
                <w:b/>
                <w:i/>
              </w:rPr>
              <w:t>Definition</w:t>
            </w:r>
          </w:p>
        </w:tc>
        <w:tc>
          <w:tcPr>
            <w:tcW w:w="1287" w:type="dxa"/>
            <w:vMerge w:val="restart"/>
            <w:shd w:val="clear" w:color="auto" w:fill="DAE1CC"/>
          </w:tcPr>
          <w:p w:rsidR="009C1F4B" w:rsidRDefault="00C22DA5">
            <w:pPr>
              <w:pStyle w:val="TableParagraph"/>
              <w:ind w:left="193" w:right="177"/>
              <w:jc w:val="center"/>
              <w:rPr>
                <w:i/>
              </w:rPr>
            </w:pPr>
            <w:r>
              <w:rPr>
                <w:i/>
              </w:rPr>
              <w:t>Resources necessary to put towards goals and support</w:t>
            </w:r>
          </w:p>
          <w:p w:rsidR="009C1F4B" w:rsidRDefault="00C22DA5">
            <w:pPr>
              <w:pStyle w:val="TableParagraph"/>
              <w:spacing w:line="251" w:lineRule="exact"/>
              <w:ind w:left="192" w:right="177"/>
              <w:jc w:val="center"/>
              <w:rPr>
                <w:i/>
              </w:rPr>
            </w:pPr>
            <w:r>
              <w:rPr>
                <w:i/>
              </w:rPr>
              <w:t>activities</w:t>
            </w:r>
          </w:p>
        </w:tc>
        <w:tc>
          <w:tcPr>
            <w:tcW w:w="1513" w:type="dxa"/>
            <w:vMerge w:val="restart"/>
            <w:shd w:val="clear" w:color="auto" w:fill="DAE1CC"/>
          </w:tcPr>
          <w:p w:rsidR="009C1F4B" w:rsidRDefault="00C22DA5">
            <w:pPr>
              <w:pStyle w:val="TableParagraph"/>
              <w:spacing w:before="133"/>
              <w:ind w:left="108" w:right="91" w:hanging="1"/>
              <w:jc w:val="center"/>
              <w:rPr>
                <w:i/>
              </w:rPr>
            </w:pPr>
            <w:r>
              <w:rPr>
                <w:i/>
              </w:rPr>
              <w:t>Actions, tasks by the educator or program staff, services provided</w:t>
            </w:r>
          </w:p>
        </w:tc>
        <w:tc>
          <w:tcPr>
            <w:tcW w:w="1659" w:type="dxa"/>
            <w:vMerge w:val="restart"/>
            <w:shd w:val="clear" w:color="auto" w:fill="DAE1CC"/>
          </w:tcPr>
          <w:p w:rsidR="009C1F4B" w:rsidRDefault="009C1F4B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9C1F4B" w:rsidRDefault="00C22DA5">
            <w:pPr>
              <w:pStyle w:val="TableParagraph"/>
              <w:ind w:left="142" w:right="124"/>
              <w:jc w:val="center"/>
              <w:rPr>
                <w:i/>
              </w:rPr>
            </w:pPr>
            <w:r>
              <w:rPr>
                <w:i/>
              </w:rPr>
              <w:t>Direct, tangible products of activities or services</w:t>
            </w:r>
          </w:p>
        </w:tc>
        <w:tc>
          <w:tcPr>
            <w:tcW w:w="4665" w:type="dxa"/>
            <w:gridSpan w:val="3"/>
            <w:shd w:val="clear" w:color="auto" w:fill="DAE1CC"/>
          </w:tcPr>
          <w:p w:rsidR="009C1F4B" w:rsidRDefault="00C22DA5">
            <w:pPr>
              <w:pStyle w:val="TableParagraph"/>
              <w:spacing w:before="109"/>
              <w:ind w:left="1932" w:right="113" w:hanging="1791"/>
              <w:rPr>
                <w:i/>
              </w:rPr>
            </w:pPr>
            <w:r>
              <w:rPr>
                <w:i/>
              </w:rPr>
              <w:t>Changes in participants that result from program activities</w:t>
            </w:r>
          </w:p>
        </w:tc>
      </w:tr>
      <w:tr w:rsidR="009C1F4B" w:rsidTr="00A025E6">
        <w:trPr>
          <w:trHeight w:val="1098"/>
        </w:trPr>
        <w:tc>
          <w:tcPr>
            <w:tcW w:w="442" w:type="dxa"/>
            <w:vMerge/>
            <w:shd w:val="clear" w:color="auto" w:fill="DFE2E9"/>
            <w:textDirection w:val="btLr"/>
          </w:tcPr>
          <w:p w:rsidR="009C1F4B" w:rsidRDefault="009C1F4B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shd w:val="clear" w:color="auto" w:fill="DFE2E9"/>
          </w:tcPr>
          <w:p w:rsidR="009C1F4B" w:rsidRDefault="009C1F4B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shd w:val="clear" w:color="auto" w:fill="DFE2E9"/>
          </w:tcPr>
          <w:p w:rsidR="009C1F4B" w:rsidRDefault="009C1F4B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shd w:val="clear" w:color="auto" w:fill="DFE2E9"/>
          </w:tcPr>
          <w:p w:rsidR="009C1F4B" w:rsidRDefault="009C1F4B"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shd w:val="clear" w:color="auto" w:fill="DAE1CC"/>
          </w:tcPr>
          <w:p w:rsidR="009C1F4B" w:rsidRDefault="00C22DA5">
            <w:pPr>
              <w:pStyle w:val="TableParagraph"/>
              <w:spacing w:before="143"/>
              <w:ind w:left="179" w:right="163" w:firstLine="3"/>
              <w:jc w:val="center"/>
              <w:rPr>
                <w:i/>
              </w:rPr>
            </w:pPr>
            <w:r>
              <w:rPr>
                <w:i/>
              </w:rPr>
              <w:t>Immediately after participation</w:t>
            </w:r>
          </w:p>
        </w:tc>
        <w:tc>
          <w:tcPr>
            <w:tcW w:w="1597" w:type="dxa"/>
            <w:shd w:val="clear" w:color="auto" w:fill="DAE1CC"/>
          </w:tcPr>
          <w:p w:rsidR="009C1F4B" w:rsidRDefault="00C22DA5">
            <w:pPr>
              <w:pStyle w:val="TableParagraph"/>
              <w:spacing w:before="143"/>
              <w:ind w:left="222" w:right="207" w:hanging="2"/>
              <w:jc w:val="center"/>
              <w:rPr>
                <w:i/>
              </w:rPr>
            </w:pPr>
            <w:r>
              <w:rPr>
                <w:i/>
              </w:rPr>
              <w:t xml:space="preserve">1-6 months </w:t>
            </w:r>
            <w:r>
              <w:rPr>
                <w:i/>
              </w:rPr>
              <w:t>after participation</w:t>
            </w:r>
          </w:p>
        </w:tc>
        <w:tc>
          <w:tcPr>
            <w:tcW w:w="1557" w:type="dxa"/>
            <w:shd w:val="clear" w:color="auto" w:fill="DAE1CC"/>
          </w:tcPr>
          <w:p w:rsidR="009C1F4B" w:rsidRDefault="00C22DA5">
            <w:pPr>
              <w:pStyle w:val="TableParagraph"/>
              <w:spacing w:before="143"/>
              <w:ind w:left="192" w:right="184" w:firstLine="27"/>
              <w:jc w:val="both"/>
              <w:rPr>
                <w:i/>
              </w:rPr>
            </w:pPr>
            <w:r>
              <w:rPr>
                <w:i/>
              </w:rPr>
              <w:t>More than 6 months after participation</w:t>
            </w:r>
          </w:p>
        </w:tc>
      </w:tr>
      <w:tr w:rsidR="009C1F4B" w:rsidTr="00A025E6">
        <w:trPr>
          <w:trHeight w:val="1612"/>
        </w:trPr>
        <w:tc>
          <w:tcPr>
            <w:tcW w:w="442" w:type="dxa"/>
            <w:shd w:val="clear" w:color="auto" w:fill="DAE1CC"/>
            <w:textDirection w:val="btLr"/>
          </w:tcPr>
          <w:p w:rsidR="009C1F4B" w:rsidRDefault="00C22DA5">
            <w:pPr>
              <w:pStyle w:val="TableParagraph"/>
              <w:spacing w:before="107"/>
              <w:ind w:left="414"/>
              <w:rPr>
                <w:b/>
                <w:i/>
              </w:rPr>
            </w:pPr>
            <w:r>
              <w:rPr>
                <w:b/>
                <w:i/>
              </w:rPr>
              <w:t>Example</w:t>
            </w:r>
          </w:p>
        </w:tc>
        <w:tc>
          <w:tcPr>
            <w:tcW w:w="1287" w:type="dxa"/>
            <w:shd w:val="clear" w:color="auto" w:fill="DAE1CC"/>
          </w:tcPr>
          <w:p w:rsidR="009C1F4B" w:rsidRDefault="00C22DA5">
            <w:pPr>
              <w:pStyle w:val="TableParagraph"/>
              <w:ind w:left="138" w:right="122" w:firstLine="1"/>
              <w:jc w:val="center"/>
              <w:rPr>
                <w:i/>
              </w:rPr>
            </w:pPr>
            <w:r>
              <w:rPr>
                <w:i/>
              </w:rPr>
              <w:t>Educator, community center, workshop materials,</w:t>
            </w:r>
          </w:p>
          <w:p w:rsidR="009C1F4B" w:rsidRDefault="00C22DA5">
            <w:pPr>
              <w:pStyle w:val="TableParagraph"/>
              <w:spacing w:line="251" w:lineRule="exact"/>
              <w:ind w:left="191" w:right="177"/>
              <w:jc w:val="center"/>
              <w:rPr>
                <w:i/>
              </w:rPr>
            </w:pPr>
            <w:r>
              <w:rPr>
                <w:i/>
              </w:rPr>
              <w:t>supplies</w:t>
            </w:r>
          </w:p>
        </w:tc>
        <w:tc>
          <w:tcPr>
            <w:tcW w:w="1513" w:type="dxa"/>
            <w:shd w:val="clear" w:color="auto" w:fill="DAE1CC"/>
          </w:tcPr>
          <w:p w:rsidR="009C1F4B" w:rsidRDefault="009C1F4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C1F4B" w:rsidRDefault="00C22DA5">
            <w:pPr>
              <w:pStyle w:val="TableParagraph"/>
              <w:ind w:left="116" w:right="96" w:hanging="4"/>
              <w:jc w:val="center"/>
              <w:rPr>
                <w:i/>
              </w:rPr>
            </w:pPr>
            <w:r>
              <w:rPr>
                <w:i/>
              </w:rPr>
              <w:t>Debt reduction workshop (four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sessions)</w:t>
            </w:r>
          </w:p>
        </w:tc>
        <w:tc>
          <w:tcPr>
            <w:tcW w:w="1659" w:type="dxa"/>
            <w:shd w:val="clear" w:color="auto" w:fill="DAE1CC"/>
          </w:tcPr>
          <w:p w:rsidR="009C1F4B" w:rsidRDefault="00C22DA5">
            <w:pPr>
              <w:pStyle w:val="TableParagraph"/>
              <w:ind w:left="141" w:right="124"/>
              <w:jc w:val="center"/>
              <w:rPr>
                <w:i/>
              </w:rPr>
            </w:pPr>
            <w:r>
              <w:rPr>
                <w:i/>
              </w:rPr>
              <w:t>Four sessions implemented, worksheets completed, materials</w:t>
            </w:r>
          </w:p>
          <w:p w:rsidR="009C1F4B" w:rsidRDefault="00C22DA5">
            <w:pPr>
              <w:pStyle w:val="TableParagraph"/>
              <w:spacing w:line="251" w:lineRule="exact"/>
              <w:ind w:left="142" w:right="124"/>
              <w:jc w:val="center"/>
              <w:rPr>
                <w:i/>
              </w:rPr>
            </w:pPr>
            <w:r>
              <w:rPr>
                <w:i/>
              </w:rPr>
              <w:t>distributed</w:t>
            </w:r>
          </w:p>
        </w:tc>
        <w:tc>
          <w:tcPr>
            <w:tcW w:w="1511" w:type="dxa"/>
            <w:shd w:val="clear" w:color="auto" w:fill="DAE1CC"/>
          </w:tcPr>
          <w:p w:rsidR="009C1F4B" w:rsidRDefault="00C22DA5">
            <w:pPr>
              <w:pStyle w:val="TableParagraph"/>
              <w:ind w:left="141" w:right="120" w:hanging="2"/>
              <w:jc w:val="center"/>
              <w:rPr>
                <w:i/>
              </w:rPr>
            </w:pPr>
            <w:r>
              <w:rPr>
                <w:i/>
              </w:rPr>
              <w:t xml:space="preserve">Satisfaction </w:t>
            </w:r>
            <w:r>
              <w:rPr>
                <w:i/>
              </w:rPr>
              <w:t>with sessions, knowledge of budgeting, and effective</w:t>
            </w:r>
          </w:p>
          <w:p w:rsidR="009C1F4B" w:rsidRDefault="00C22DA5">
            <w:pPr>
              <w:pStyle w:val="TableParagraph"/>
              <w:spacing w:line="251" w:lineRule="exact"/>
              <w:ind w:left="330" w:right="314"/>
              <w:jc w:val="center"/>
              <w:rPr>
                <w:i/>
              </w:rPr>
            </w:pPr>
            <w:r>
              <w:rPr>
                <w:i/>
              </w:rPr>
              <w:t>spending</w:t>
            </w:r>
          </w:p>
        </w:tc>
        <w:tc>
          <w:tcPr>
            <w:tcW w:w="1597" w:type="dxa"/>
            <w:shd w:val="clear" w:color="auto" w:fill="DAE1CC"/>
          </w:tcPr>
          <w:p w:rsidR="009C1F4B" w:rsidRDefault="00C22DA5">
            <w:pPr>
              <w:pStyle w:val="TableParagraph"/>
              <w:spacing w:before="133"/>
              <w:ind w:left="154" w:right="143" w:firstLine="4"/>
              <w:jc w:val="center"/>
              <w:rPr>
                <w:i/>
              </w:rPr>
            </w:pPr>
            <w:r>
              <w:rPr>
                <w:i/>
              </w:rPr>
              <w:t>Changes in financial behaviors, use of budget techniques</w:t>
            </w:r>
          </w:p>
        </w:tc>
        <w:tc>
          <w:tcPr>
            <w:tcW w:w="1557" w:type="dxa"/>
            <w:shd w:val="clear" w:color="auto" w:fill="DAE1CC"/>
          </w:tcPr>
          <w:p w:rsidR="009C1F4B" w:rsidRDefault="009C1F4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C1F4B" w:rsidRDefault="00C22DA5">
            <w:pPr>
              <w:pStyle w:val="TableParagraph"/>
              <w:ind w:left="219" w:right="208"/>
              <w:jc w:val="center"/>
              <w:rPr>
                <w:i/>
              </w:rPr>
            </w:pPr>
            <w:r>
              <w:rPr>
                <w:i/>
              </w:rPr>
              <w:t>Reduction in debt, improved credit score</w:t>
            </w:r>
          </w:p>
        </w:tc>
      </w:tr>
      <w:tr w:rsidR="009C1F4B" w:rsidTr="00A025E6">
        <w:trPr>
          <w:trHeight w:val="7965"/>
        </w:trPr>
        <w:tc>
          <w:tcPr>
            <w:tcW w:w="1729" w:type="dxa"/>
            <w:gridSpan w:val="2"/>
          </w:tcPr>
          <w:p w:rsidR="009C1F4B" w:rsidRDefault="009C1F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:rsidR="009C1F4B" w:rsidRDefault="009C1F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9C1F4B" w:rsidRDefault="009C1F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1" w:type="dxa"/>
          </w:tcPr>
          <w:p w:rsidR="009C1F4B" w:rsidRDefault="009C1F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7" w:type="dxa"/>
          </w:tcPr>
          <w:p w:rsidR="009C1F4B" w:rsidRDefault="009C1F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:rsidR="009C1F4B" w:rsidRDefault="009C1F4B">
            <w:pPr>
              <w:pStyle w:val="TableParagraph"/>
              <w:rPr>
                <w:rFonts w:ascii="Times New Roman"/>
              </w:rPr>
            </w:pPr>
          </w:p>
        </w:tc>
      </w:tr>
    </w:tbl>
    <w:p w:rsidR="00000000" w:rsidRDefault="00C22DA5"/>
    <w:sectPr w:rsidR="00000000">
      <w:type w:val="continuous"/>
      <w:pgSz w:w="12240" w:h="15840"/>
      <w:pgMar w:top="640" w:right="10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4B"/>
    <w:rsid w:val="0034643F"/>
    <w:rsid w:val="009C1F4B"/>
    <w:rsid w:val="00A0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F6574F5-8BA1-4A90-8A81-EADC1DBA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NEFE Financial Education Evaluation Manual</vt:lpstr>
    </vt:vector>
  </TitlesOfParts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NEFE Financial Education Evaluation Manual</dc:title>
  <dc:creator>Mary Beth Kelley</dc:creator>
  <cp:lastModifiedBy>Mary Beth Kelley</cp:lastModifiedBy>
  <cp:revision>2</cp:revision>
  <cp:lastPrinted>2018-05-29T16:49:00Z</cp:lastPrinted>
  <dcterms:created xsi:type="dcterms:W3CDTF">2018-05-29T17:02:00Z</dcterms:created>
  <dcterms:modified xsi:type="dcterms:W3CDTF">2018-05-29T17:02:00Z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2018-05-29T00:00:00Z</vt:filetime>
  </property>
</Properties>
</file>